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line="240" w:lineRule="auto"/>
        <w:ind w:left="0" w:right="0" w:firstLine="0"/>
        <w:jc w:val="left"/>
        <w:rPr>
          <w:rFonts w:ascii="Arial" w:cs="Arial" w:hAnsi="Arial" w:eastAsia="Arial"/>
          <w:rtl w:val="0"/>
        </w:rPr>
      </w:pPr>
      <w:r>
        <w:rPr>
          <w:rFonts w:ascii="Arial" w:hAnsi="Arial"/>
          <w:rtl w:val="0"/>
          <w:lang w:val="en-US"/>
        </w:rPr>
        <w:t xml:space="preserve">l CBAM (carbon border adjustment mechanism) </w:t>
      </w:r>
      <w:r>
        <w:rPr>
          <w:rFonts w:ascii="Arial" w:hAnsi="Arial" w:hint="default"/>
          <w:rtl w:val="0"/>
          <w:lang w:val="it-IT"/>
        </w:rPr>
        <w:t xml:space="preserve">è </w:t>
      </w:r>
      <w:r>
        <w:rPr>
          <w:rFonts w:ascii="Arial" w:hAnsi="Arial"/>
          <w:rtl w:val="0"/>
          <w:lang w:val="it-IT"/>
        </w:rPr>
        <w:t>un meccanismo di compensazione delle emissioni di carbonio incorporate nella merce prodotta fuori dalle frontiere dell'Unione Europea che verranno gestite tramite l'acquisto di certificati rappresentativi delle emissione di CO2. Le merci interessate sono indicate nell'allegato I del regolamento UE 2023/956 e l'elenco che prevede aggiornamenti in ful include:</w:t>
      </w:r>
    </w:p>
    <w:p>
      <w:pPr>
        <w:pStyle w:val="Di default"/>
        <w:bidi w:val="0"/>
        <w:spacing w:before="0" w:line="240" w:lineRule="auto"/>
        <w:ind w:left="0" w:right="0" w:firstLine="0"/>
        <w:jc w:val="left"/>
        <w:rPr>
          <w:rFonts w:ascii="Arial" w:cs="Arial" w:hAnsi="Arial" w:eastAsia="Arial"/>
          <w:rtl w:val="0"/>
        </w:rPr>
      </w:pPr>
      <w:r>
        <w:rPr>
          <w:rFonts w:ascii="Arial" w:hAnsi="Arial"/>
          <w:rtl w:val="0"/>
          <w:lang w:val="it-IT"/>
        </w:rPr>
        <w:t>-cemento;</w:t>
      </w:r>
    </w:p>
    <w:p>
      <w:pPr>
        <w:pStyle w:val="Di default"/>
        <w:bidi w:val="0"/>
        <w:spacing w:before="0" w:line="240" w:lineRule="auto"/>
        <w:ind w:left="0" w:right="0" w:firstLine="0"/>
        <w:jc w:val="left"/>
        <w:rPr>
          <w:rFonts w:ascii="Arial" w:cs="Arial" w:hAnsi="Arial" w:eastAsia="Arial"/>
          <w:rtl w:val="0"/>
        </w:rPr>
      </w:pPr>
      <w:r>
        <w:rPr>
          <w:rFonts w:ascii="Arial" w:hAnsi="Arial"/>
          <w:rtl w:val="0"/>
          <w:lang w:val="it-IT"/>
        </w:rPr>
        <w:t>-fertilizzanti;</w:t>
      </w:r>
    </w:p>
    <w:p>
      <w:pPr>
        <w:pStyle w:val="Di default"/>
        <w:bidi w:val="0"/>
        <w:spacing w:before="0" w:line="240" w:lineRule="auto"/>
        <w:ind w:left="0" w:right="0" w:firstLine="0"/>
        <w:jc w:val="left"/>
        <w:rPr>
          <w:rFonts w:ascii="Arial" w:cs="Arial" w:hAnsi="Arial" w:eastAsia="Arial"/>
          <w:rtl w:val="0"/>
        </w:rPr>
      </w:pPr>
      <w:r>
        <w:rPr>
          <w:rFonts w:ascii="Arial" w:hAnsi="Arial"/>
          <w:rtl w:val="0"/>
          <w:lang w:val="it-IT"/>
        </w:rPr>
        <w:t>-ferro e acciaio;</w:t>
      </w:r>
    </w:p>
    <w:p>
      <w:pPr>
        <w:pStyle w:val="Di default"/>
        <w:bidi w:val="0"/>
        <w:spacing w:before="0" w:line="240" w:lineRule="auto"/>
        <w:ind w:left="0" w:right="0" w:firstLine="0"/>
        <w:jc w:val="left"/>
        <w:rPr>
          <w:rFonts w:ascii="Arial" w:cs="Arial" w:hAnsi="Arial" w:eastAsia="Arial"/>
          <w:rtl w:val="0"/>
        </w:rPr>
      </w:pPr>
      <w:r>
        <w:rPr>
          <w:rFonts w:ascii="Arial" w:hAnsi="Arial"/>
          <w:rtl w:val="0"/>
          <w:lang w:val="it-IT"/>
        </w:rPr>
        <w:t>-alluminio;</w:t>
      </w:r>
    </w:p>
    <w:p>
      <w:pPr>
        <w:pStyle w:val="Di default"/>
        <w:bidi w:val="0"/>
        <w:spacing w:before="0" w:line="240" w:lineRule="auto"/>
        <w:ind w:left="0" w:right="0" w:firstLine="0"/>
        <w:jc w:val="left"/>
        <w:rPr>
          <w:rFonts w:ascii="Arial" w:cs="Arial" w:hAnsi="Arial" w:eastAsia="Arial"/>
          <w:rtl w:val="0"/>
        </w:rPr>
      </w:pPr>
      <w:r>
        <w:rPr>
          <w:rFonts w:ascii="Arial" w:hAnsi="Arial"/>
          <w:rtl w:val="0"/>
          <w:lang w:val="it-IT"/>
        </w:rPr>
        <w:t>-idrogeno;</w:t>
      </w:r>
    </w:p>
    <w:p>
      <w:pPr>
        <w:pStyle w:val="Di default"/>
        <w:bidi w:val="0"/>
        <w:spacing w:before="0" w:line="240" w:lineRule="auto"/>
        <w:ind w:left="0" w:right="0" w:firstLine="0"/>
        <w:jc w:val="left"/>
        <w:rPr>
          <w:rFonts w:ascii="Arial" w:cs="Arial" w:hAnsi="Arial" w:eastAsia="Arial"/>
          <w:rtl w:val="0"/>
        </w:rPr>
      </w:pPr>
      <w:r>
        <w:rPr>
          <w:rFonts w:ascii="Arial" w:hAnsi="Arial"/>
          <w:rtl w:val="0"/>
          <w:lang w:val="it-IT"/>
        </w:rPr>
        <w:t>-energia elettrica</w:t>
      </w:r>
    </w:p>
    <w:p>
      <w:pPr>
        <w:pStyle w:val="Di default"/>
        <w:bidi w:val="0"/>
        <w:spacing w:before="0" w:line="240" w:lineRule="auto"/>
        <w:ind w:left="0" w:right="0" w:firstLine="0"/>
        <w:jc w:val="left"/>
        <w:rPr>
          <w:rFonts w:ascii="Arial" w:cs="Arial" w:hAnsi="Arial" w:eastAsia="Arial"/>
          <w:rtl w:val="0"/>
        </w:rPr>
      </w:pPr>
      <w:r>
        <w:rPr>
          <w:rFonts w:ascii="Arial" w:hAnsi="Arial" w:hint="default"/>
          <w:rtl w:val="0"/>
        </w:rPr>
        <w:t> </w:t>
      </w:r>
    </w:p>
    <w:p>
      <w:pPr>
        <w:pStyle w:val="Di default"/>
        <w:bidi w:val="0"/>
        <w:spacing w:before="0" w:line="240" w:lineRule="auto"/>
        <w:ind w:left="0" w:right="0" w:firstLine="0"/>
        <w:jc w:val="left"/>
        <w:rPr>
          <w:rFonts w:ascii="Arial" w:cs="Arial" w:hAnsi="Arial" w:eastAsia="Arial"/>
          <w:rtl w:val="0"/>
        </w:rPr>
      </w:pPr>
      <w:r>
        <w:rPr>
          <w:rFonts w:ascii="Arial" w:hAnsi="Arial"/>
          <w:rtl w:val="0"/>
          <w:lang w:val="it-IT"/>
        </w:rPr>
        <w:t>Dal 1</w:t>
      </w:r>
      <w:r>
        <w:rPr>
          <w:rFonts w:ascii="Arial" w:hAnsi="Arial" w:hint="default"/>
          <w:rtl w:val="0"/>
          <w:lang w:val="it-IT"/>
        </w:rPr>
        <w:t xml:space="preserve">° </w:t>
      </w:r>
      <w:r>
        <w:rPr>
          <w:rFonts w:ascii="Arial" w:hAnsi="Arial"/>
          <w:rtl w:val="0"/>
          <w:lang w:val="it-IT"/>
        </w:rPr>
        <w:t xml:space="preserve">ottobre 2023 </w:t>
      </w:r>
      <w:r>
        <w:rPr>
          <w:rFonts w:ascii="Arial" w:hAnsi="Arial" w:hint="default"/>
          <w:rtl w:val="0"/>
          <w:lang w:val="it-IT"/>
        </w:rPr>
        <w:t xml:space="preserve">è </w:t>
      </w:r>
      <w:r>
        <w:rPr>
          <w:rFonts w:ascii="Arial" w:hAnsi="Arial"/>
          <w:rtl w:val="0"/>
          <w:lang w:val="it-IT"/>
        </w:rPr>
        <w:t>stata avviata la fase transitoria che durer</w:t>
      </w:r>
      <w:r>
        <w:rPr>
          <w:rFonts w:ascii="Arial" w:hAnsi="Arial" w:hint="default"/>
          <w:rtl w:val="0"/>
        </w:rPr>
        <w:t xml:space="preserve">à </w:t>
      </w:r>
      <w:r>
        <w:rPr>
          <w:rFonts w:ascii="Arial" w:hAnsi="Arial"/>
          <w:rtl w:val="0"/>
          <w:lang w:val="it-IT"/>
        </w:rPr>
        <w:t xml:space="preserve">fino al 31 dicembre 2025. In questo periodo </w:t>
      </w:r>
      <w:r>
        <w:rPr>
          <w:rFonts w:ascii="Arial" w:hAnsi="Arial" w:hint="default"/>
          <w:rtl w:val="0"/>
          <w:lang w:val="it-IT"/>
        </w:rPr>
        <w:t xml:space="preserve">è </w:t>
      </w:r>
      <w:r>
        <w:rPr>
          <w:rFonts w:ascii="Arial" w:hAnsi="Arial"/>
          <w:rtl w:val="0"/>
          <w:lang w:val="it-IT"/>
        </w:rPr>
        <w:t>previsto solamente l'obbligo di rendicontazione ma non sono previste sanzioni n</w:t>
      </w:r>
      <w:r>
        <w:rPr>
          <w:rFonts w:ascii="Arial" w:hAnsi="Arial" w:hint="default"/>
          <w:rtl w:val="0"/>
          <w:lang w:val="it-IT"/>
        </w:rPr>
        <w:t xml:space="preserve">è </w:t>
      </w:r>
      <w:r>
        <w:rPr>
          <w:rFonts w:ascii="Arial" w:hAnsi="Arial"/>
          <w:rtl w:val="0"/>
          <w:lang w:val="it-IT"/>
        </w:rPr>
        <w:t xml:space="preserve">impatti finanziari sugli operatori. Il 31 gennaio 2024 </w:t>
      </w:r>
      <w:r>
        <w:rPr>
          <w:rFonts w:ascii="Arial" w:hAnsi="Arial" w:hint="default"/>
          <w:rtl w:val="0"/>
          <w:lang w:val="it-IT"/>
        </w:rPr>
        <w:t xml:space="preserve">è </w:t>
      </w:r>
      <w:r>
        <w:rPr>
          <w:rFonts w:ascii="Arial" w:hAnsi="Arial"/>
          <w:rtl w:val="0"/>
          <w:lang w:val="it-IT"/>
        </w:rPr>
        <w:t>scaduto il termine per la prima presentazione che deve avere cadenza trimestrale. Per la trasmissione dei report l'operatore deve registrarsi sull'apposito portale.</w:t>
      </w:r>
      <w:r>
        <w:rPr>
          <w:rFonts w:ascii="Arial" w:hAnsi="Arial" w:hint="default"/>
          <w:rtl w:val="0"/>
        </w:rPr>
        <w:t> </w:t>
      </w:r>
    </w:p>
    <w:p>
      <w:pPr>
        <w:pStyle w:val="Di default"/>
        <w:bidi w:val="0"/>
        <w:spacing w:before="0" w:line="240" w:lineRule="auto"/>
        <w:ind w:left="0" w:right="0" w:firstLine="0"/>
        <w:jc w:val="left"/>
        <w:rPr>
          <w:rFonts w:ascii="Arial" w:cs="Arial" w:hAnsi="Arial" w:eastAsia="Arial"/>
          <w:rtl w:val="0"/>
        </w:rPr>
      </w:pPr>
      <w:r>
        <w:rPr>
          <w:rFonts w:ascii="Arial" w:hAnsi="Arial" w:hint="default"/>
          <w:rtl w:val="0"/>
        </w:rPr>
        <w:t> </w:t>
      </w:r>
    </w:p>
    <w:p>
      <w:pPr>
        <w:pStyle w:val="Di default"/>
        <w:bidi w:val="0"/>
        <w:spacing w:before="0" w:line="240" w:lineRule="auto"/>
        <w:ind w:left="0" w:right="0" w:firstLine="0"/>
        <w:jc w:val="left"/>
        <w:rPr>
          <w:rtl w:val="0"/>
        </w:rPr>
      </w:pPr>
      <w:r>
        <w:rPr>
          <w:rFonts w:ascii="Arial" w:hAnsi="Arial"/>
          <w:rtl w:val="0"/>
          <w:lang w:val="it-IT"/>
        </w:rPr>
        <w:t xml:space="preserve">Antonelli SRL </w:t>
      </w:r>
      <w:r>
        <w:rPr>
          <w:rFonts w:ascii="Arial" w:hAnsi="Arial"/>
          <w:rtl w:val="0"/>
          <w:lang w:val="it-IT"/>
        </w:rPr>
        <w:t>pu</w:t>
      </w:r>
      <w:r>
        <w:rPr>
          <w:rFonts w:ascii="Arial" w:hAnsi="Arial" w:hint="default"/>
          <w:rtl w:val="0"/>
          <w:lang w:val="it-IT"/>
        </w:rPr>
        <w:t>ò</w:t>
      </w:r>
      <w:r>
        <w:rPr>
          <w:rFonts w:ascii="Arial" w:hAnsi="Arial"/>
          <w:rtl w:val="0"/>
          <w:lang w:val="it-IT"/>
        </w:rPr>
        <w:t xml:space="preserve"> assister</w:t>
      </w:r>
      <w:r>
        <w:rPr>
          <w:rFonts w:ascii="Arial" w:hAnsi="Arial"/>
          <w:rtl w:val="0"/>
          <w:lang w:val="it-IT"/>
        </w:rPr>
        <w:t>vi</w:t>
      </w:r>
      <w:r>
        <w:rPr>
          <w:rFonts w:ascii="Arial" w:hAnsi="Arial"/>
          <w:rtl w:val="0"/>
          <w:lang w:val="it-IT"/>
        </w:rPr>
        <w:t xml:space="preserve"> in tutto il processo relativo al CBAM, dall'iscrizione alla presentazione e alla formazione necessaria.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